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OWiG 1968 — Beteiligung</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Beteiligen sich mehrere an einer Ordnungswidrigkeit, so handelt jeder von ihnen ordnungswidrig. Dies gilt auch dann, wenn besondere persönliche Merkmale (§ 9 Abs. 1), welche die Möglichkeit der Ahndung begründen, nur bei einem Beteiligten vorliegen.</w:t>
      </w:r>
    </w:p>
    <w:p>
      <w:r>
        <w:t xml:space="preserve">(2) Die Beteiligung kann nur dann geahndet werden, wenn der Tatbestand eines Gesetzes, das die Ahndung mit einer Geldbuße zuläßt, rechtswidrig verwirklicht wird oder in Fällen, in denen auch der Versuch geahndet werden kann, dies wenigstens versucht wird.</w:t>
      </w:r>
    </w:p>
    <w:p>
      <w:r>
        <w:t xml:space="preserve">(3) Handelt einer der Beteiligten nicht vorwerfbar, so wird dadurch die Möglichkeit der Ahndung bei den anderen nicht ausgeschlossen. Bestimmt das Gesetz, daß besondere persönliche Merkmale die Möglichkeit der Ahndung ausschließen, so gilt dies nur für den Beteiligten, bei dem sie vorliegen.</w:t>
      </w:r>
    </w:p>
    <w:p>
      <w:r>
        <w:t xml:space="preserve">(4) Bestimmt das Gesetz, daß eine Handlung, die sonst eine Ordnungswidrigkeit wäre, bei besonderen persönlichen Merkmalen des Täters eine Straftat ist, so gilt dies nur für den Beteiligten, bei dem sie vorliegen.</w:t>
      </w:r>
    </w:p>
    <w:p>
      <w:r>
        <w:rPr>
          <w:color w:val="555555"/>
          <w:sz w:val="17"/>
        </w:rPr>
        <w:t xml:space="preserve">Zitiervorschlag: § 14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