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124 OWiG 1968 — Benutzen von Wappen oder Dienstflaggen</w:t>
      </w:r>
    </w:p>
    <w:p>
      <w:r>
        <w:rPr>
          <w:color w:val="555555"/>
          <w:sz w:val="18"/>
        </w:rPr>
        <w:t xml:space="preserve">Gesetz über Ordnungswidrigkeiten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handelt, wer unbefugt</w:t>
      </w:r>
    </w:p>
    <w:p>
      <w:pPr>
        <w:ind w:left="420"/>
      </w:pPr>
      <w:r>
        <w:t xml:space="preserve">1. das Wappen des Bundes oder eines Landes oder den Bundesadler oder den entsprechenden Teil eines Landeswappens oder</w:t>
      </w:r>
    </w:p>
    <w:p>
      <w:pPr>
        <w:ind w:left="420"/>
      </w:pPr>
      <w:r>
        <w:t xml:space="preserve">2. eine Dienstflagge des Bundes oder eines Landes</w:t>
      </w:r>
    </w:p>
    <w:p>
      <w:r>
        <w:t xml:space="preserve">benutzt.</w:t>
      </w:r>
    </w:p>
    <w:p>
      <w:r>
        <w:t xml:space="preserve">(2) Den in Absatz 1 genannten Wappen, Wappenteilen und Flaggen stehen solche gleich, die ihnen zum Verwechseln ähnlich sind.</w:t>
      </w:r>
    </w:p>
    <w:p>
      <w:r>
        <w:t xml:space="preserve">(3) Die Ordnungswidrigkeit kann mit einer Geldbuße geahndet werden.</w:t>
      </w:r>
    </w:p>
    <w:p>
      <w:r>
        <w:rPr>
          <w:color w:val="555555"/>
          <w:sz w:val="17"/>
        </w:rPr>
        <w:t xml:space="preserve">Zitiervorschlag: § 124 OWiG 1968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https://recht.nulegal.eu/gesetze/OWiG%201968/124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124 OWiG 1968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