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121 OWiG 1968 — Halten gefährlicher Tiere</w:t>
      </w:r>
    </w:p>
    <w:p>
      <w:r>
        <w:rPr>
          <w:color w:val="555555"/>
          <w:sz w:val="18"/>
        </w:rPr>
        <w:t xml:space="preserve">Gesetz über Ordnungswidrigkeiten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ein gefährliches Tier einer wildlebenden Art oder ein bösartiges Tier sich frei umherbewegen läßt oder</w:t>
      </w:r>
    </w:p>
    <w:p>
      <w:pPr>
        <w:ind w:left="420"/>
      </w:pPr>
      <w:r>
        <w:t xml:space="preserve">2. als Verantwortlicher für die Beaufsichtigung eines solchen Tieres es unterläßt, die nötigen Vorsichtsmaßnahmen zu treffen, um Schäden durch das Tier zu verhüten.</w:t>
      </w:r>
    </w:p>
    <w:p>
      <w:r>
        <w:t xml:space="preserve">(2) Die Ordnungswidrigkeit kann mit einer Geldbuße geahndet werden.</w:t>
      </w:r>
    </w:p>
    <w:p>
      <w:r>
        <w:rPr>
          <w:color w:val="555555"/>
          <w:sz w:val="17"/>
        </w:rPr>
        <w:t xml:space="preserve">Zitiervorschlag: § 121 OWiG 1968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https://recht.nulegal.eu/gesetze/OWiG%201968/121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