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116 OWiG 1968 — Öffentliche Aufforderung zu Ordnungswidrigkeiten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Ordnungswidrig handelt, wer öffentlich, in einer Versammlung oder durch Verbreiten eines Inhalts (§ 11 Absatz 3 des Strafgesetzbuches) zu einer mit Geldbuße bedrohten Handlung auffordert.</w:t>
      </w:r>
    </w:p>
    <w:p>
      <w:r>
        <w:t xml:space="preserve">(2) Die Ordnungswidrigkeit kann mit einer Geldbuße geahndet werden. Das Höchstmaß der Geldbuße bestimmt sich nach dem Höchstmaß der Geldbuße für die Handlung, zu der aufgefordert wird.</w:t>
      </w:r>
    </w:p>
    <w:p>
      <w:r>
        <w:rPr>
          <w:color w:val="555555"/>
          <w:sz w:val="17"/>
        </w:rPr>
        <w:t xml:space="preserve">Zitiervorschlag: § 116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