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111 OWiG 1968 — Falsche Namensangabe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einer zuständigen Behörde, einem zuständigen Amtsträger oder einem zuständigen Soldaten der Bundeswehr über seinen Vor-, Familien- oder Geburtsnamen, den Ort oder Tag seiner Geburt, seinen Familienstand, seinen Beruf, seinen Wohnort, seine Wohnung oder seine Staatsangehörigkeit eine unrichtige Angabe macht oder die Angabe verweigert.</w:t>
      </w:r>
    </w:p>
    <w:p>
      <w:r>
        <w:t xml:space="preserve">(2) Ordnungswidrig handelt auch der Täter, der fahrlässig nicht erkennt, daß die Behörde, der Amtsträger oder der Soldat zuständig ist.</w:t>
      </w:r>
    </w:p>
    <w:p>
      <w:r>
        <w:t xml:space="preserve">(3) Die Ordnungswidrigkeit kann, wenn die Handlung nicht nach anderen Vorschriften geahndet werden kann, in den Fällen des Absatzes 1 mit einer Geldbuße bis zu eintausend Euro, in den Fällen des Absatzes 2 mit einer Geldbuße bis zu fünfhundert Euro geahndet werden.</w:t>
      </w:r>
    </w:p>
    <w:p>
      <w:r>
        <w:rPr>
          <w:color w:val="555555"/>
          <w:sz w:val="17"/>
        </w:rPr>
        <w:t xml:space="preserve">Zitiervorschlag: § 111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111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