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110c OWiG 1968 — Entsprechende Geltung der Strafprozessordnung für Aktenführung und Kommunikation im Verfahren</w:t>
      </w:r>
    </w:p>
    <w:p>
      <w:r>
        <w:rPr>
          <w:color w:val="555555"/>
          <w:sz w:val="18"/>
        </w:rPr>
        <w:t xml:space="preserve">Gesetz über Ordnungswidrigkeiten</w:t>
      </w:r>
    </w:p>
    <w:p>
      <w:r>
        <w:rPr>
          <w:color w:val="555555"/>
          <w:sz w:val="18"/>
        </w:rPr>
        <w:t xml:space="preserve">Stand: 01.01.2026 (konsolidierte Textfassung, kein amtliches Inkrafttretensdatum)</w:t>
      </w:r>
    </w:p>
    <w:p>
      <w:r>
        <w:t xml:space="preserve">Im Übrigen gelten die §§ 32a, 32b und 32d bis 32f der Strafprozessordnung sowie die auf der Grundlage des § 32a Absatz 2 Satz 2 und Absatz 4 Satz 1 Nummer 5, des § 32b Absatz 5 und des § 32f Absatz 6 der Strafprozessordnung erlassenen Rechtsverordnungen entsprechend. Abweichend von § 32b Absatz 1 Satz 2 der Strafprozessordnung ist bei der automatisierten Herstellung eines zu signierenden elektronischen Dokuments statt seiner die begleitende Verfügung zu signieren. § 32d Satz 2 der Strafprozessordnung gilt mit der Maßgabe, dass Verteidiger und Rechtsanwälte</w:t>
      </w:r>
    </w:p>
    <w:p>
      <w:pPr>
        <w:ind w:left="420"/>
      </w:pPr>
      <w:r>
        <w:t xml:space="preserve">1. den Einspruch gegen den Bußgeldbescheid, seine Rücknahme und den Verzicht auf den Einspruch,</w:t>
      </w:r>
    </w:p>
    <w:p>
      <w:pPr>
        <w:ind w:left="420"/>
      </w:pPr>
      <w:r>
        <w:t xml:space="preserve">2. die Rechtsbeschwerde, ihre Begründung und ihre Rücknahme,</w:t>
      </w:r>
    </w:p>
    <w:p>
      <w:pPr>
        <w:ind w:left="420"/>
      </w:pPr>
      <w:r>
        <w:t xml:space="preserve">3. den Antrag auf Zulassung der Rechtsbeschwerde, seine Begründung und seine Rücknahme sowie</w:t>
      </w:r>
    </w:p>
    <w:p>
      <w:pPr>
        <w:ind w:left="420"/>
      </w:pPr>
      <w:r>
        <w:t xml:space="preserve">4. die Gegenerklärung</w:t>
      </w:r>
    </w:p>
    <w:p>
      <w:r>
        <w:t xml:space="preserve">als elektronisches Dokument übermitteln müssen. Abweichend von § 32e Absatz 4 Satz 1 der Strafprozessordnung müssen Ausgangsdokumente nicht gespeichert oder aufbewahrt werden, wenn die übertragenen Dokumente zusätzlich einen mit einer qualifizierten elektronischen Signatur versehenen Vermerk darüber enthalten, dass das Ausgangsdokument mit dem zur Akte zu nehmenden Dokument inhaltlich und bildlich übereinstimmt.</w:t>
      </w:r>
    </w:p>
    <w:p>
      <w:r>
        <w:rPr>
          <w:color w:val="555555"/>
          <w:sz w:val="17"/>
        </w:rPr>
        <w:t xml:space="preserve">Zitiervorschlag: § 110c OWiG 1968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https://recht.nulegal.eu/gesetze/OWiG%201968/110c</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