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108a OWiG 1968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Stellt die Staatsanwaltschaft nach Einspruch gegen den Bußgeldbescheid das Verfahren ein, bevor sie die Akten dem Gericht vorlegt, so trifft sie die Entscheidungen nach § 467a Abs. 1 und 2 der Strafprozeßordnung.</w:t>
      </w:r>
    </w:p>
    <w:p>
      <w:r>
        <w:t xml:space="preserve">(2) Gegen die Entscheidung der Staatsanwaltschaft kann innerhalb von zwei Wochen nach Zustellung gerichtliche Entscheidung beantragt werden; § 50 Abs. 2 sowie die §§ 52 und 62 Abs. 2 gelten entsprechend.</w:t>
      </w:r>
    </w:p>
    <w:p>
      <w:r>
        <w:t xml:space="preserve">(3) Die Entscheidung über den Festsetzungsantrag (§ 464b Satz 1 der Strafprozeßordnung) trifft der Urkundsbeamte der Geschäftsstelle der Staatsanwaltschaft. Über die Erinnerung gegen den Festsetzungsbeschluß des Urkundsbeamten der Geschäftsstelle entscheidet das nach § 68 zuständige Gericht.</w:t>
      </w:r>
    </w:p>
    <w:p>
      <w:r>
        <w:rPr>
          <w:color w:val="555555"/>
          <w:sz w:val="17"/>
        </w:rPr>
        <w:t xml:space="preserve">Zitiervorschlag: § 108a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https://recht.nulegal.eu/gesetze/OWiG%201968/108a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