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108 OWiG 1968 — Rechtsbehelf und Vollstreckung</w:t>
      </w:r>
    </w:p>
    <w:p>
      <w:r>
        <w:rPr>
          <w:color w:val="555555"/>
          <w:sz w:val="18"/>
        </w:rPr>
        <w:t xml:space="preserve">Gesetz über Ordnungswidrigkeiten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(1) Im Verfahren der Verwaltungsbehörde ist gegen den</w:t>
      </w:r>
    </w:p>
    <w:p>
      <w:pPr>
        <w:ind w:left="420"/>
      </w:pPr>
      <w:r>
        <w:t xml:space="preserve">1. selbständigen Kostenbescheid,</w:t>
      </w:r>
    </w:p>
    <w:p>
      <w:pPr>
        <w:ind w:left="420"/>
      </w:pPr>
      <w:r>
        <w:t xml:space="preserve">2. Kostenfestsetzungsbescheid (§ 106) und</w:t>
      </w:r>
    </w:p>
    <w:p>
      <w:pPr>
        <w:ind w:left="420"/>
      </w:pPr>
      <w:r>
        <w:t xml:space="preserve">3. Ansatz der Gebühren und Auslagen</w:t>
      </w:r>
    </w:p>
    <w:p>
      <w:r>
        <w:t xml:space="preserve">der Antrag auf gerichtliche Entscheidung nach § 62 zulässig. In den Fällen der Nummern 1 und 2 ist der Antrag innerhalb von zwei Wochen nach Zustellung des Bescheides zu stellen; gegen die Entscheidung des Gerichts ist in den Fällen der Nummer 2 sofortige Beschwerde zulässig, wenn der Wert des Beschwerdegegenstandes 300 Euro übersteigt.</w:t>
      </w:r>
    </w:p>
    <w:p>
      <w:r>
        <w:t xml:space="preserve">(2) Für die Vollstreckung der Kosten des Bußgeldverfahrens gelten die §§ 89 und 90 Abs. 1 entsprechend.</w:t>
      </w:r>
    </w:p>
    <w:p>
      <w:r>
        <w:rPr>
          <w:color w:val="555555"/>
          <w:sz w:val="17"/>
        </w:rPr>
        <w:t xml:space="preserve">Zitiervorschlag: § 108 OWiG 1968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https://recht.nulegal.eu/gesetze/OWiG%201968/108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