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103 OWiG 1968 — Gerichtliche Entscheidung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Einwendungen gegen</w:t>
      </w:r>
    </w:p>
    <w:p>
      <w:pPr>
        <w:ind w:left="420"/>
      </w:pPr>
      <w:r>
        <w:t xml:space="preserve">1. die Zulässigkeit der Vollstreckung,</w:t>
      </w:r>
    </w:p>
    <w:p>
      <w:pPr>
        <w:ind w:left="420"/>
      </w:pPr>
      <w:r>
        <w:t xml:space="preserve">2. die von der Vollstreckungsbehörde nach den §§ 93, 99 Abs. 2 und § 102 Abs. 1 getroffenen Anordnungen,</w:t>
      </w:r>
    </w:p>
    <w:p>
      <w:pPr>
        <w:ind w:left="420"/>
      </w:pPr>
      <w:r>
        <w:t xml:space="preserve">3. die sonst bei der Vollstreckung eines Bußgeldbescheides getroffenen Maßnahmen</w:t>
      </w:r>
    </w:p>
    <w:p>
      <w:r>
        <w:t xml:space="preserve">entscheidet das Gericht.</w:t>
      </w:r>
    </w:p>
    <w:p>
      <w:r>
        <w:t xml:space="preserve">(2) Durch Einwendungen nach Absatz 1 wird die Vollstreckung nicht gehemmt. Das Gericht kann jedoch die Vollstreckung aussetzen.</w:t>
      </w:r>
    </w:p>
    <w:p>
      <w:r>
        <w:rPr>
          <w:color w:val="555555"/>
          <w:sz w:val="17"/>
        </w:rPr>
        <w:t xml:space="preserve">Zitiervorschlag: § 103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103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