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OWiG 1968 — Nachträgliche Entscheidungen über die Einziehung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Über die Aufhebung des Vorbehalts der Einziehung und die nachträgliche Anordnung der Einziehung eines Gegenstandes oder des Wertersatzes (§ 24 Abs. 2 Satz 3, § 25 Abs. 4) entscheidet</w:t>
      </w:r>
    </w:p>
    <w:p>
      <w:pPr>
        <w:ind w:left="420"/>
      </w:pPr>
      <w:r>
        <w:t xml:space="preserve">1. die Verwaltungsbehörde, die den Bußgeldbescheid erlassen hat,</w:t>
      </w:r>
    </w:p>
    <w:p>
      <w:pPr>
        <w:ind w:left="420"/>
      </w:pPr>
      <w:r>
        <w:t xml:space="preserve">2. bei einer gerichtlichen Bußgeldentscheidung das Gericht.</w:t>
      </w:r>
    </w:p>
    <w:p>
      <w:r>
        <w:t xml:space="preserve">(2) Gegen die nachträgliche Anordnung der Einziehung ist in den Fällen des Absatzes 1 Nr. 1 innerhalb von zwei Wochen nach Zustellung des Bescheides der Antrag auf gerichtliche Entscheidung nach § 62 zulässig. Gegen die Entscheidung des Gerichts ist sofortige Beschwerde zulässig, wenn der Wert des Beschwerdegegenstandes zweihundertfünfzig Euro übersteigt.</w:t>
      </w:r>
    </w:p>
    <w:p>
      <w:r>
        <w:rPr>
          <w:color w:val="555555"/>
          <w:sz w:val="17"/>
        </w:rPr>
        <w:t xml:space="preserve">Zitiervorschlag: § 100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https://recht.nulegal.eu/gesetze/OWiG%201968/100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