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OWiG 1968 — Begriffsbestimmung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Ordnungswidrigkeit ist eine rechtswidrige und vorwerfbare Handlung, die den Tatbestand eines Gesetzes verwirklicht, das die Ahndung mit einer Geldbuße zuläßt.</w:t>
      </w:r>
    </w:p>
    <w:p>
      <w:r>
        <w:t xml:space="preserve">(2) Eine mit Geldbuße bedrohte Handlung ist eine rechtswidrige Handlung, die den Tatbestand eines Gesetzes im Sinne des Absatzes 1 verwirklicht, auch wenn sie nicht vorwerfbar begangen ist.</w:t>
      </w:r>
    </w:p>
    <w:p>
      <w:r>
        <w:rPr>
          <w:color w:val="555555"/>
          <w:sz w:val="17"/>
        </w:rPr>
        <w:t xml:space="preserve">Zitiervorschlag: § 1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