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OVEV (Brandenburg) — Inkrafttreten</w:t>
      </w:r>
    </w:p>
    <w:p>
      <w:r>
        <w:rPr>
          <w:color w:val="555555"/>
          <w:sz w:val="18"/>
        </w:rPr>
        <w:t xml:space="preserve">Online-Verfahrens-Erprobungsverordnung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16. April 2026</w:t>
      </w:r>
    </w:p>
    <w:p>
      <w:r>
        <w:t xml:space="preserve">Der Minister der Justiz und für Digitalisierung</w:t>
      </w:r>
    </w:p>
    <w:p>
      <w:r>
        <w:t xml:space="preserve">Dr. Benjamin Grimm</w:t>
      </w:r>
    </w:p>
    <w:p>
      <w:r>
        <w:rPr>
          <w:color w:val="555555"/>
          <w:sz w:val="17"/>
        </w:rPr>
        <w:t xml:space="preserve">Zitiervorschlag: § 2 OVEV (Brandenburg)</w:t>
      </w:r>
    </w:p>
    <w:p>
      <w:r>
        <w:rPr>
          <w:color w:val="555555"/>
          <w:sz w:val="17"/>
        </w:rPr>
        <w:t xml:space="preserve">Quelle: bravors, abgerufen 02.09.2026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https://recht.nulegal.eu/gesetze/OVEV/2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