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OVEV (Brandenburg) — Teilnehmendes Amtsgericht</w:t>
      </w:r>
    </w:p>
    <w:p>
      <w:r>
        <w:rPr>
          <w:color w:val="555555"/>
          <w:sz w:val="18"/>
        </w:rPr>
        <w:t xml:space="preserve">Online-Verfahrens-Erprobungsverordnung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aus der Anlage ersichtliche Amtsgericht nimmt in dem dort niedergelegten Umfang ab den dort angegebenen Zeitpunkten an der Erprobung des Online -Verfahrens nach Buch 12 Abschnitt 2 der Zivilprozessordnung teil.</w:t>
      </w:r>
    </w:p>
    <w:p>
      <w:r>
        <w:rPr>
          <w:color w:val="555555"/>
          <w:sz w:val="17"/>
        </w:rPr>
        <w:t xml:space="preserve">Zitiervorschlag: § 1 OVEV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