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OStrV — Beratung durch den Ausschuss für Betriebssicherheit</w:t>
      </w:r>
    </w:p>
    <w:p>
      <w:r>
        <w:rPr>
          <w:color w:val="555555"/>
          <w:sz w:val="18"/>
        </w:rPr>
        <w:t xml:space="preserve">Arbeitsschutzverordnung zu künstlicher optischer Strahlung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Arbeit und Soziales wird in allen Fragen der Sicherheit und des Gesundheitsschutzes bei künstlicher optischer Strahlung durch den Ausschuss nach § 21 der Betriebssicherheitsverordnung beraten. § 21 Absatz 5 und 6 der Betriebssicherheitsverordnung gilt entsprechend.</w:t>
      </w:r>
    </w:p>
    <w:p>
      <w:r>
        <w:rPr>
          <w:color w:val="555555"/>
          <w:sz w:val="17"/>
        </w:rPr>
        <w:t xml:space="preserve">Zitiervorschlag: § 9 OStrV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https://recht.nulegal.eu/gesetze/OStrV/9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