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OStrV — Expositionsgrenzwerte für künstliche optische Strahlung</w:t>
      </w:r>
    </w:p>
    <w:p>
      <w:r>
        <w:rPr>
          <w:color w:val="555555"/>
          <w:sz w:val="18"/>
        </w:rPr>
        <w:t xml:space="preserve">Arbeitsschutzverordnung zu künstlicher optischer Strahlung</w:t>
      </w:r>
    </w:p>
    <w:p>
      <w:r>
        <w:rPr>
          <w:color w:val="555555"/>
          <w:sz w:val="18"/>
        </w:rPr>
        <w:t xml:space="preserve">Stand: 10.06.2019 (konsolidierte Textfassung, kein amtliches Inkrafttretensdatum)</w:t>
      </w:r>
    </w:p>
    <w:p>
      <w:r>
        <w:t xml:space="preserve">(1) Die Expositionsgrenzwerte für inkohärente künstliche optische Strahlung entsprechen den festgelegten Werten im Anhang I der Richtlinie 2006/25/EG des Europäischen Parlaments und des Rates vom 5. April 2006 über Mindestvorschriften zum Schutz von Sicherheit und Gesundheit der Arbeitnehmer vor der Gefährdung durch physikalische Einwirkungen (künstliche optische Strahlung) (19. Einzelrichtlinie im Sinne des Artikels 16 Absatz 1 der Richtlinie 89/391/EWG) (ABl. L 114 vom 27.4.2006, S. 38) in der jeweils geltenden Fassung.</w:t>
      </w:r>
    </w:p>
    <w:p>
      <w:r>
        <w:t xml:space="preserve">(2) Die Expositionsgrenzwerte für Laserstrahlung entsprechen den festgelegten Werten im Anhang II der Richtlinie 2006/25/EG des Europäischen Parlaments und des Rates vom 5. April 2006 über Mindestvorschriften zum Schutz von Sicherheit und Gesundheit der Arbeitnehmer vor der Gefährdung durch physikalische Einwirkungen (künstliche optische Strahlung) (19. Einzelrichtlinie im Sinne des Artikels 16 Absatz 1 der Richtlinie 89/391/EWG) (ABl. L 114 vom 27.4.2006, S. 38) in der jeweils geltenden Fassung.</w:t>
      </w:r>
    </w:p>
    <w:p>
      <w:r>
        <w:rPr>
          <w:color w:val="555555"/>
          <w:sz w:val="17"/>
        </w:rPr>
        <w:t xml:space="preserve">Zitiervorschlag: § 6 OStrV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https://recht.nulegal.eu/gesetze/OStrV/6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