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OStrV — Messungen und Berechnungen</w:t>
      </w:r>
    </w:p>
    <w:p>
      <w:r>
        <w:rPr>
          <w:color w:val="555555"/>
          <w:sz w:val="18"/>
        </w:rPr>
        <w:t xml:space="preserve">Arbeitsschutzverordnung zu künstlicher optischer Strahlung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Arbeitgeber hat sicherzustellen, dass Messungen und Berechnungen nach dem Stand der Technik fachkundig geplant und durchgeführt werden. Dazu müssen Messverfahren und -geräte sowie eventuell erforderliche Berechnungsverfahren</w:t>
      </w:r>
    </w:p>
    <w:p>
      <w:pPr>
        <w:ind w:left="420"/>
      </w:pPr>
      <w:r>
        <w:t xml:space="preserve">1. den vorhandenen Arbeitsplatz- und Expositionsbedingungen hinsichtlich der betreffenden künstlichen optischen Strahlung angepasst sein und</w:t>
      </w:r>
    </w:p>
    <w:p>
      <w:pPr>
        <w:ind w:left="420"/>
      </w:pPr>
      <w:r>
        <w:t xml:space="preserve">2. geeignet sein, die jeweiligen physikalischen Größen zu bestimmen; die Messergebnisse müssen die Entscheidung erlauben, ob die in § 6 genannten Expositionsgrenzwerte eingehalten werden.</w:t>
      </w:r>
    </w:p>
    <w:p>
      <w:r>
        <w:t xml:space="preserve">(2) Die durchzuführenden Messungen können auch eine Stichprobenerhebung umfassen, die für die persönliche Exposition der Beschäftigten repräsentativ ist.</w:t>
      </w:r>
    </w:p>
    <w:p>
      <w:r>
        <w:rPr>
          <w:color w:val="555555"/>
          <w:sz w:val="17"/>
        </w:rPr>
        <w:t xml:space="preserve">Zitiervorschlag: § 4 OStrV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https://recht.nulegal.eu/gesetze/OStrV/4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