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OStrV — Straftaten und Ordnungswidrigkeiten</w:t>
      </w:r>
    </w:p>
    <w:p>
      <w:r>
        <w:rPr>
          <w:color w:val="555555"/>
          <w:sz w:val="18"/>
        </w:rPr>
        <w:t xml:space="preserve">Arbeitsschutzverordnung zu künstlicher optischer Strahlung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25 Absatz 1 Nummer 1 des Arbeitsschutzgesetzes handelt, wer vorsätzlich oder fahrlässig</w:t>
      </w:r>
    </w:p>
    <w:p>
      <w:pPr>
        <w:ind w:left="420"/>
      </w:pPr>
      <w:r>
        <w:t xml:space="preserve">1. entgegen § 3 Absatz 3 Satz 1 Beschäftigte eine Tätigkeit aufnehmen lässt,</w:t>
      </w:r>
    </w:p>
    <w:p>
      <w:pPr>
        <w:ind w:left="420"/>
      </w:pPr>
      <w:r>
        <w:t xml:space="preserve">2. entgegen § 3 Absatz 4 Satz 1 und 2 eine Gefährdungsbeurteilung nicht richtig, nicht vollständig oder nicht rechtzeitig dokumentiert,</w:t>
      </w:r>
    </w:p>
    <w:p>
      <w:pPr>
        <w:ind w:left="420"/>
      </w:pPr>
      <w:r>
        <w:t xml:space="preserve">3. entgegen § 4 Absatz 1 Satz 1 nicht sicherstellt, dass eine Messung oder eine Berechnung nach dem Stand der Technik durchgeführt wird,</w:t>
      </w:r>
    </w:p>
    <w:p>
      <w:pPr>
        <w:ind w:left="420"/>
      </w:pPr>
      <w:r>
        <w:t xml:space="preserve">4. entgegen § 5 Absatz 1 Satz 1 nicht sicherstellt, dass die Gefährdungsbeurteilung, die Messungen oder die Berechnungen von fachkundigen Personen durchgeführt werden,</w:t>
      </w:r>
    </w:p>
    <w:p>
      <w:pPr>
        <w:ind w:left="420"/>
      </w:pPr>
      <w:r>
        <w:t xml:space="preserve">5. entgegen § 5 Absatz 2 Satz 1 einen Laserschutzbeauftragten nicht schriftlich bestellt,</w:t>
      </w:r>
    </w:p>
    <w:p>
      <w:pPr>
        <w:ind w:left="420"/>
      </w:pPr>
      <w:r>
        <w:t xml:space="preserve">5a. entgegen § 5 Absatz 2 Satz 2 einen Laserschutzbeauftragten bestellt, der nicht über die für seine Aufgaben erforderlichen Fachkenntnisse verfügt,</w:t>
      </w:r>
    </w:p>
    <w:p>
      <w:pPr>
        <w:ind w:left="420"/>
      </w:pPr>
      <w:r>
        <w:t xml:space="preserve">6. entgegen § 7 Absatz 3 Satz 1 einen Arbeitsbereich nicht kennzeichnet,</w:t>
      </w:r>
    </w:p>
    <w:p>
      <w:pPr>
        <w:ind w:left="420"/>
      </w:pPr>
      <w:r>
        <w:t xml:space="preserve">7. entgegen § 7 Absatz 3 Satz 4 einen Arbeitsbereich nicht abgrenzt,</w:t>
      </w:r>
    </w:p>
    <w:p>
      <w:pPr>
        <w:ind w:left="420"/>
      </w:pPr>
      <w:r>
        <w:t xml:space="preserve">8. entgegen § 7 Absatz 4 Satz 1 eine Maßnahme nicht oder nicht rechtzeitig durchführt oder</w:t>
      </w:r>
    </w:p>
    <w:p>
      <w:pPr>
        <w:ind w:left="420"/>
      </w:pPr>
      <w:r>
        <w:t xml:space="preserve">9. entgegen § 8 Absatz 1 Satz 1 nicht sicherstellt, dass ein Beschäftigter eine Unterweisung in der vorgeschriebenen Weise erhält.</w:t>
      </w:r>
    </w:p>
    <w:p>
      <w:r>
        <w:t xml:space="preserve">(2) Wer durch eine in Absatz 1 bezeichnete vorsätzliche Handlung das Leben oder die Gesundheit von Beschäftigten gefährdet, ist nach § 26 Nummer 2 des Arbeitsschutzgesetzes strafbar.</w:t>
      </w:r>
    </w:p>
    <w:p>
      <w:r>
        <w:rPr>
          <w:color w:val="555555"/>
          <w:sz w:val="17"/>
        </w:rPr>
        <w:t xml:space="preserve">Zitiervorschlag: § 11 OStrV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https://recht.nulegal.eu/gesetze/OStrV/11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