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OStrV — Ausnahmen</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Die zuständige Behörde kann auf schriftlichen Antrag des Arbeitgebers Ausnahmen von den Vorschriften des § 7 zulassen, wenn die Durchführung der Vorschrift im Einzelfall zu einer unverhältnismäßigen Härte führen würde und die Abweichung mit dem Schutz der Beschäftigten vereinbar ist. Diese Ausnahmen können mit Nebenbestimmungen verbunden werden, die unter Berücksichtigung der besonderen Umstände gewährleisten, dass die Gefährdungen, die sich aus den Ausnahmen ergeben können, auf ein Minimum reduziert werden. Die Ausnahmen sind spätestens nach vier Jahren zu überprüfen; sie sind aufzuheben, sobald die Umstände, die sie gerechtfertigt haben, nicht mehr gegeben sind. Der Antrag des Arbeitgebers muss mindestens Angaben enthalten zu</w:t>
      </w:r>
    </w:p>
    <w:p>
      <w:pPr>
        <w:ind w:left="420"/>
      </w:pPr>
      <w:r>
        <w:t xml:space="preserve">1. der Gefährdungsbeurteilung einschließlich der Dokumentation,</w:t>
      </w:r>
    </w:p>
    <w:p>
      <w:pPr>
        <w:ind w:left="420"/>
      </w:pPr>
      <w:r>
        <w:t xml:space="preserve">2. Art, Ausmaß und Dauer der Exposition durch die künstliche optische Strahlung,</w:t>
      </w:r>
    </w:p>
    <w:p>
      <w:pPr>
        <w:ind w:left="420"/>
      </w:pPr>
      <w:r>
        <w:t xml:space="preserve">3. dem Wellenlängenbereich der künstlichen optischen Strahlung,</w:t>
      </w:r>
    </w:p>
    <w:p>
      <w:pPr>
        <w:ind w:left="420"/>
      </w:pPr>
      <w:r>
        <w:t xml:space="preserve">4. dem Stand der Technik bezüglich der Tätigkeiten und der Arbeitsverfahren sowie zu den technischen, organisatorischen und persönlichen Schutzmaßnahmen,</w:t>
      </w:r>
    </w:p>
    <w:p>
      <w:pPr>
        <w:ind w:left="420"/>
      </w:pPr>
      <w:r>
        <w:t xml:space="preserve">5. den Lösungsvorschlägen, wie die Exposition der Beschäftigten reduziert werden kann, um die Expositionswerte einzuhalten, sowie einen Zeitplan hierfür.</w:t>
      </w:r>
    </w:p>
    <w:p>
      <w:r>
        <w:t xml:space="preserve">Der Antrag des Arbeitgebers kann in Papierform oder elektronisch übermittelt werden.</w:t>
      </w:r>
    </w:p>
    <w:p>
      <w:r>
        <w:t xml:space="preserve">(2) Eine Ausnahme nach Absatz 1 Satz 1 kann auch im Zusammenhang mit Verwaltungsverfahren nach anderen Rechtsvorschriften beantragt werden.</w:t>
      </w:r>
    </w:p>
    <w:p>
      <w:r>
        <w:rPr>
          <w:color w:val="555555"/>
          <w:sz w:val="17"/>
        </w:rPr>
        <w:t xml:space="preserve">Zitiervorschlag: § 10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