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OStrV — Anwendungsbereich</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Diese Verordnung gilt zum Schutz der Beschäftigten bei der Arbeit vor tatsächlichen oder möglichen Gefährdungen ihrer Gesundheit und Sicherheit durch optische Strahlung aus künstlichen Strahlungsquellen. Sie betrifft insbesondere die Gefährdungen der Augen und der Haut.</w:t>
      </w:r>
    </w:p>
    <w:p>
      <w:r>
        <w:t xml:space="preserve">(2) Die Verordnung gilt nicht in Betrieben, die dem Bundesberggesetz unterliegen, soweit dort oder in den auf Grund dieses Gesetzes erlassenen Rechtsverordnungen entsprechende Rechtsvorschriften bestehen.</w:t>
      </w:r>
    </w:p>
    <w:p>
      <w:r>
        <w:t xml:space="preserve">(3) Das Bundesministerium der Verteidigung kann für Beschäftigte, für die tatsächliche oder mögliche Gefährdungen ihrer Gesundheit und Sicherheit durch künstliche optische Strahlung bestehen, Ausnahmen von den Vorschriften dieser Verordnung zulassen, soweit öffentliche Belange dies zwingend erfordern, insbesondere für Zwecke der Verteidigung oder zur Erfüllung zwischenstaatlicher Verpflichtungen der Bundesrepublik Deutschland. In diesem Fall ist gleichzeitig festzulegen, wie die Sicherheit und der Gesundheitsschutz der Beschäftigten nach dieser Verordnung auf andere Weise gewährleistet werden können.</w:t>
      </w:r>
    </w:p>
    <w:p>
      <w:r>
        <w:rPr>
          <w:color w:val="555555"/>
          <w:sz w:val="17"/>
        </w:rPr>
        <w:t xml:space="preserve">Zitiervorschlag: § 1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