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OSprLauG (Brandenburg)</w:t>
      </w:r>
    </w:p>
    <w:p>
      <w:r>
        <w:rPr>
          <w:color w:val="555555"/>
          <w:sz w:val="18"/>
        </w:rPr>
        <w:t xml:space="preserve">Oberspreewald-Lausitz-Gesetz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Kreisname nach § 1 und der Kreissitz nach § 2 werden mit Ablauf des Tages der nächsten landesweiten Kreistagswahl rechtswirksam.</w:t>
      </w:r>
    </w:p>
    <w:p>
      <w:r>
        <w:rPr>
          <w:color w:val="555555"/>
          <w:sz w:val="17"/>
        </w:rPr>
        <w:t xml:space="preserve">Zitiervorschlag: § 4 OSprLauG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https://recht.nulegal.eu/gesetze/OSprLauG/4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