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OSprLauG (Brandenburg)</w:t>
      </w:r>
    </w:p>
    <w:p>
      <w:r>
        <w:rPr>
          <w:color w:val="555555"/>
          <w:sz w:val="18"/>
        </w:rPr>
        <w:t xml:space="preserve">Oberspreewald-Lausitz-Gesetz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Oberspreewald-Lausitz sollen der Stadt Calau, die infolge der Kreisgebietsreform die Eigenschaft als Kreissitz verliert, einen angemessenen Ausgleich verschaffen.</w:t>
      </w:r>
    </w:p>
    <w:p>
      <w:r>
        <w:t xml:space="preserve">(2) Die Stadt Calau erhält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erhält die Stadt Calau eine zusätzliche Investitionspauschale in Höhe von 1 417 020 DM jährlich.</w:t>
      </w:r>
    </w:p>
    <w:p>
      <w:r>
        <w:rPr>
          <w:color w:val="555555"/>
          <w:sz w:val="17"/>
        </w:rPr>
        <w:t xml:space="preserve">Zitiervorschlag: § 3 OSprLauG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https://recht.nulegal.eu/gesetze/OSprLauG/3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