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OSprLauG (Brandenburg)</w:t>
      </w:r>
    </w:p>
    <w:p>
      <w:r>
        <w:rPr>
          <w:color w:val="555555"/>
          <w:sz w:val="18"/>
        </w:rPr>
        <w:t xml:space="preserve">Oberspreewald-Lausitz-Gesetz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Sitz der Verwaltung des Landkreises ist die Stadt Senftenberg .</w:t>
      </w:r>
    </w:p>
    <w:p>
      <w:r>
        <w:rPr>
          <w:color w:val="555555"/>
          <w:sz w:val="17"/>
        </w:rPr>
        <w:t xml:space="preserve">Zitiervorschlag: § 2 OSprLauG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https://recht.nulegal.eu/gesetze/OSprLauG/2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