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OSprLauG (Brandenburg)</w:t>
      </w:r>
    </w:p>
    <w:p>
      <w:r>
        <w:rPr>
          <w:color w:val="555555"/>
          <w:sz w:val="18"/>
        </w:rPr>
        <w:t xml:space="preserve">Oberspreewald-Lausitz-Gesetz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durch § 11 des Kreisneugliederungsgesetzes aus</w:t>
      </w:r>
    </w:p>
    <w:p>
      <w:r>
        <w:t xml:space="preserve">dem Kreis Calau und</w:t>
      </w:r>
    </w:p>
    <w:p>
      <w:r>
        <w:t xml:space="preserve">dem Kreis Senftenberg</w:t>
      </w:r>
    </w:p>
    <w:p>
      <w:r>
        <w:t xml:space="preserve">gebildete Landkreis führt den Namen "Landkreis Oberspreewald-Lausitz" .</w:t>
      </w:r>
    </w:p>
    <w:p>
      <w:r>
        <w:rPr>
          <w:color w:val="555555"/>
          <w:sz w:val="17"/>
        </w:rPr>
        <w:t xml:space="preserve">Zitiervorschlag: § 1 OSprLauG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https://recht.nulegal.eu/gesetze/OSprLauG/1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