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OSZEVorRV 2016</w:t>
      </w:r>
    </w:p>
    <w:p>
      <w:r>
        <w:rPr>
          <w:color w:val="555555"/>
          <w:sz w:val="18"/>
        </w:rPr>
        <w:t xml:space="preserve">Verordnung über Vorrechte und Immunitäten der Organisation für Sicherheit und Zusammenarbeit in Europa (OSZE)</w:t>
      </w:r>
    </w:p>
    <w:p>
      <w:r>
        <w:rPr>
          <w:color w:val="555555"/>
          <w:sz w:val="18"/>
        </w:rPr>
        <w:t xml:space="preserve">Stand: 10.06.2019 (konsolidierte Textfassung, kein amtliches Inkrafttretensdatum)</w:t>
      </w:r>
    </w:p>
    <w:p>
      <w:r>
        <w:t xml:space="preserve">Auf Grund des Artikels 3 Nummer 2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Artikel 4 des Gesetzes vom 16. August 1980 (BGBl. 1980 II S. 941) neu gefasst worden ist, verordnet die Bundesregierung:</w:t>
      </w:r>
    </w:p>
    <w:p>
      <w:r>
        <w:rPr>
          <w:color w:val="555555"/>
          <w:sz w:val="17"/>
        </w:rPr>
        <w:t xml:space="preserve">Zitiervorschlag: Eingangsformel OSZEVorRV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https://recht.nulegal.eu/gesetze/OSZEVorRV%202016/eingangsformel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