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OSZEVorRV 2016 — Inkrafttreten, Außerkrafttreten</w:t>
      </w:r>
    </w:p>
    <w:p>
      <w:r>
        <w:rPr>
          <w:color w:val="555555"/>
          <w:sz w:val="18"/>
        </w:rPr>
        <w:t xml:space="preserve">Verordnung über Vorrechte und Immunitäten der Organisation für Sicherheit und Zusammenarbeit in Europa (OSZE)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Verordnung vom 15. Februar 1996 über Vorrechte und Immunitäten der Organisation für Sicherheit und Zusammenarbeit in Europa (OSZE) (BGBl. 1996 II S. 226), die durch Artikel 4 Absatz 1 des Gesetzes vom 22. September 2005 (BGBl. I S. 2809) geändert worden ist, außer Kraft.</w:t>
      </w:r>
    </w:p>
    <w:p>
      <w:r>
        <w:rPr>
          <w:color w:val="555555"/>
          <w:sz w:val="17"/>
        </w:rPr>
        <w:t xml:space="preserve">Zitiervorschlag: Art 3 OSZEVorRV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https://recht.nulegal.eu/gesetze/OSZEVorRV%202016/3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