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OSGVSTV_G_2005 (Brandenburg)</w:t>
      </w:r>
    </w:p>
    <w:p>
      <w:r>
        <w:rPr>
          <w:color w:val="555555"/>
          <w:sz w:val="18"/>
        </w:rPr>
        <w:t xml:space="preserve">Gesetz zu dem Zweiten Staatsvertrag vom 2. Mai 2005 zur Änderung des Staatsvertrages über den Ostdeutschen Sparkassen- und Giroverband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Staatsvertrag nach seinem Artikel 2 in Kraft tritt, ist im Gesetz- und Verordnungsblatt für das Land Brandenburg Teil I bekannt zu geben.</w:t>
      </w:r>
    </w:p>
    <w:p>
      <w:r>
        <w:t xml:space="preserve">Potsdam, den 22. Juni 2005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OSGVSTV_G_2005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https://recht.nulegal.eu/gesetze/OSGVSTV_G_2005/2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