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OSGVSTV_G_2005 (Brandenburg)</w:t>
      </w:r>
    </w:p>
    <w:p>
      <w:r>
        <w:rPr>
          <w:color w:val="555555"/>
          <w:sz w:val="18"/>
        </w:rPr>
        <w:t xml:space="preserve">Gesetz zu dem Zweiten Staatsvertrag vom 2. Mai 2005 zur Änderung des Staatsvertrages über den Ostdeutschen Sparkassen- und Giroverband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2. Mai 2005 unterzeichneten Zweiten Staatsvertrag zur Änderung des Staatsvertrages über den Ostdeutschen Sparkassen- und Giroverband wird zugestimmt. Der Staatsvertrag wird nachstehend veröffentlicht.</w:t>
      </w:r>
    </w:p>
    <w:p>
      <w:r>
        <w:rPr>
          <w:color w:val="555555"/>
          <w:sz w:val="17"/>
        </w:rPr>
        <w:t xml:space="preserve">Zitiervorschlag: § 1 OSGVSTV_G_2005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https://recht.nulegal.eu/gesetze/OSGVSTV_G_2005/1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