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ORheinLotsOEV — (weggefallen)</w:t>
      </w:r>
    </w:p>
    <w:p>
      <w:r>
        <w:rPr>
          <w:color w:val="555555"/>
          <w:sz w:val="18"/>
        </w:rPr>
        <w:t xml:space="preserve">Verordnung zur Einführung der Lotsenordnung für den Oberrhein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7 ORheinLotsOEV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https://recht.nulegal.eu/gesetze/ORheinLotsOEV/7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