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ORheinLotsOEV — Inkraftsetzung</w:t>
      </w:r>
    </w:p>
    <w:p>
      <w:r>
        <w:rPr>
          <w:color w:val="555555"/>
          <w:sz w:val="18"/>
        </w:rPr>
        <w:t xml:space="preserve">Verordnung zur Einführung der Lotsenordnung für den Oberrhein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Lotsenordnung für den Rhein zwischen Basel und Mannheim/Ludwigshafen wird in der Fassung der Anlage 1 in Kraft gesetzt.</w:t>
      </w:r>
    </w:p>
    <w:p>
      <w:r>
        <w:rPr>
          <w:color w:val="555555"/>
          <w:sz w:val="17"/>
        </w:rPr>
        <w:t xml:space="preserve">Zitiervorschlag: Art 1 ORheinLotsOEV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https://recht.nulegal.eu/gesetze/ORheinLotsOEV/1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