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OPCATStV (Bayern)</w:t>
      </w:r>
    </w:p>
    <w:p>
      <w:r>
        <w:rPr>
          <w:color w:val="555555"/>
          <w:sz w:val="18"/>
        </w:rPr>
        <w:t xml:space="preserve">Staatsvertrag über die Einrichtung eines nationalen Mechanismus aller Länder nach Artikel 3 des Fakultativprotokolls vom 18. Dezember 2002 zu dem Übereinkommen der Vereinten Nationen gegen Folter und andere grausame, unmenschliche oder erniedrigende Behandlung oder Strafe Vom 25. Juni 2009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 vertreten durch den Ministerpräsidenten, dieser vertreten durch den Minister der Justiz,</w:t>
      </w:r>
    </w:p>
    <w:p>
      <w:r>
        <w:rPr>
          <w:color w:val="555555"/>
          <w:sz w:val="17"/>
        </w:rPr>
        <w:t xml:space="preserve">Zitiervorschlag: Eingangsformel OPCATStV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https://recht.nulegal.eu/gesetze/OPCATStV/eingangsformel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