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OPCATStV (Bayern) — Inkrafttreten</w:t>
      </w:r>
    </w:p>
    <w:p>
      <w:r>
        <w:rPr>
          <w:color w:val="555555"/>
          <w:sz w:val="18"/>
        </w:rPr>
        <w:t xml:space="preserve">Staatsvertrag über die Einrichtung eines nationalen Mechanismus aller Länder nach Artikel 3 des Fakultativprotokolls vom 18. Dezember 2002 zu dem Übereinkommen der Vereinten Nationen gegen Folter und andere grausame, unmenschliche oder erniedrigende Behandlung oder Strafe Vom 25. Juni 2009</w:t>
      </w:r>
    </w:p>
    <w:p>
      <w:r>
        <w:rPr>
          <w:color w:val="555555"/>
          <w:sz w:val="18"/>
        </w:rPr>
        <w:t xml:space="preserve">Landesrecht Bayern</w:t>
      </w:r>
    </w:p>
    <w:p>
      <w:r>
        <w:rPr>
          <w:color w:val="555555"/>
          <w:sz w:val="18"/>
        </w:rPr>
        <w:t xml:space="preserve">Stand: 25.08.2026 (konsolidierte Textfassung, kein amtliches Inkrafttretensdatum)</w:t>
      </w:r>
    </w:p>
    <w:p>
      <w:r>
        <w:t xml:space="preserve">Der Vertrag bedarf der Ratifikation. Er tritt am Ersten des Monats in Kraft, der auf den Monat folgt, in dem die letzte Ratifikationsurkunde der vertragschließenden Länder bei dem Hessischen Ministerium der Justiz für Integration und Europa hinterlegt ist. Die Hessische Staatskanzlei teilt den übrigen beteiligten Ländern den Zeitpunkt der Hinterlegung der letzten Ratifikationsurkunde mit.</w:t>
      </w:r>
    </w:p>
    <w:p>
      <w:r>
        <w:rPr>
          <w:color w:val="555555"/>
          <w:sz w:val="17"/>
        </w:rPr>
        <w:t xml:space="preserve">Zitiervorschlag: Art 11 OPCATStV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https://recht.nulegal.eu/gesetze/OPCATStV/11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