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OPCATStV (Bayern) — Geltungsdauer, Kündigung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Vertrag wird auf unbestimmte Zeit geschlossen; er kann von jedem Land durch schriftliche Erklärung gegenüber den übrigen Ländern mit einer Kündigungsfrist von einem Jahr zum Schluss eines Kalenderjahres gekündigt werden.</w:t>
      </w:r>
    </w:p>
    <w:p>
      <w:r>
        <w:t xml:space="preserve">(2) Durch das Ausscheiden eines Landes wird die Wirksamkeit des Vertrages zwischen den übrigen Ländern nicht berührt.</w:t>
      </w:r>
    </w:p>
    <w:p>
      <w:r>
        <w:t xml:space="preserve">(3) Kündigt ein Land wirksam zum Schluss eines Kalenderjahres, so berechnet sich die Kostenverteilung zwischen den verbleibenden Ländern nach dem entsprechend angepassten Königsteiner Schlüssel.</w:t>
      </w:r>
    </w:p>
    <w:p>
      <w:r>
        <w:rPr>
          <w:color w:val="555555"/>
          <w:sz w:val="17"/>
        </w:rPr>
        <w:t xml:space="preserve">Zitiervorschlag: Art 10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