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OHvG (Brandenburg)</w:t>
      </w:r>
    </w:p>
    <w:p>
      <w:r>
        <w:rPr>
          <w:color w:val="555555"/>
          <w:sz w:val="18"/>
        </w:rPr>
        <w:t xml:space="preserve">Oberhavel-Gesetz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3 des Kreisneugliederungsgesetzes aus</w:t>
      </w:r>
    </w:p>
    <w:p>
      <w:r>
        <w:t xml:space="preserve">dem Kreis Gransee</w:t>
      </w:r>
    </w:p>
    <w:p>
      <w:r>
        <w:t xml:space="preserve">ohne die Gemeinde Keller und</w:t>
      </w:r>
    </w:p>
    <w:p>
      <w:r>
        <w:t xml:space="preserve">dem Kreis Oranienburg</w:t>
      </w:r>
    </w:p>
    <w:p>
      <w:r>
        <w:t xml:space="preserve">gebildete Landkreis führt den Namen</w:t>
      </w:r>
    </w:p>
    <w:p>
      <w:r>
        <w:t xml:space="preserve">"Landkreis Oberhavel" .</w:t>
      </w:r>
    </w:p>
    <w:p>
      <w:r>
        <w:rPr>
          <w:color w:val="555555"/>
          <w:sz w:val="17"/>
        </w:rPr>
        <w:t xml:space="preserve">Zitiervorschlag: § 1 OHvG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