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OHTBRZuVO (Sachsen)</w:t>
      </w:r>
    </w:p>
    <w:p>
      <w:r>
        <w:rPr>
          <w:color w:val="555555"/>
          <w:sz w:val="18"/>
        </w:rPr>
        <w:t xml:space="preserve">OHT-Biosphärenreservatszuständigkeitsverordnung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48 Absatz 3 Satz 1 des Sächsischen Naturschutzgesetzes vom 6. Juni 2013 (SächsGVBl. S. 451), der durch Artikel 6 Nummer 22 des Gesetzes vom 20. Dezember 2022 (SächsGVBl. S. 705) geändert worden ist, verordnet das Staatsministerium für Umwelt und Landwirtschaft:</w:t>
      </w:r>
    </w:p>
    <w:p>
      <w:r>
        <w:rPr>
          <w:color w:val="555555"/>
          <w:sz w:val="17"/>
        </w:rPr>
        <w:t xml:space="preserve">Zitiervorschlag: Eingangsformel OHTBRZuVO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https://recht.nulegal.eu/gesetze/OHTBRZuVO/eingangsformel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