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OHTBRZuVO (Sachsen) — Inkrafttreten</w:t>
      </w:r>
    </w:p>
    <w:p>
      <w:r>
        <w:rPr>
          <w:color w:val="555555"/>
          <w:sz w:val="18"/>
        </w:rPr>
        <w:t xml:space="preserve">OHT-Biosphärenreservatszuständigkeitsverordnung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Dresden, den 21. Oktober 2025</w:t>
      </w:r>
    </w:p>
    <w:p>
      <w:r>
        <w:t xml:space="preserve">Der Staatsminister für Umwelt und Landwirtschaft</w:t>
      </w:r>
    </w:p>
    <w:p>
      <w:r>
        <w:t xml:space="preserve">Georg-Ludwig von Breitenbuch</w:t>
      </w:r>
    </w:p>
    <w:p>
      <w:r>
        <w:rPr>
          <w:color w:val="555555"/>
          <w:sz w:val="17"/>
        </w:rPr>
        <w:t xml:space="preserve">Zitiervorschlag: § 2 OHTBRZuVO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https://recht.nulegal.eu/gesetze/OHTBRZuVO/2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