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OHTBRZuVO (Sachsen) — Zuständigkeit der Naturschutzbehörden für den Erlass von Rechtsverordnungen</w:t>
      </w:r>
    </w:p>
    <w:p>
      <w:r>
        <w:rPr>
          <w:color w:val="555555"/>
          <w:sz w:val="18"/>
        </w:rPr>
        <w:t xml:space="preserve">OHT-Biosphärenreservatszuständigkeitsverordnung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48 Absatz 1 Satz 1 Nummer 2 des Sächsischen Naturschutzgesetzes ist</w:t>
      </w:r>
    </w:p>
    <w:p>
      <w:r>
        <w:t xml:space="preserve">1. die oberste Naturschutzbehörde zuständig für den Erlass</w:t>
      </w:r>
    </w:p>
    <w:p>
      <w:r>
        <w:t xml:space="preserve">a)</w:t>
      </w:r>
    </w:p>
    <w:p>
      <w:r>
        <w:t xml:space="preserve">von Rechtsverordnungen zur Erklärung, Änderung und Aufhebung der Unterschutzstellung von Naturschutzgebieten und Landschaftsschutzgebieten,</w:t>
      </w:r>
    </w:p>
    <w:p>
      <w:r>
        <w:t xml:space="preserve">b)</w:t>
      </w:r>
    </w:p>
    <w:p>
      <w:r>
        <w:t xml:space="preserve">von Rechtsverordnungen und Einzelanordnungen zur Erklärung, Änderung und Aufhebung der Unterschutzstellung von Flächennaturdenkmälern im Sinne von § 4 Nummer 3 des Sächsischen Naturschutzgesetzes ,</w:t>
      </w:r>
    </w:p>
    <w:p>
      <w:r>
        <w:t xml:space="preserve">2. die obere Naturschutzbehörde zuständig für den Erlass von Rechtsverordnungen und Einzelanordnungen zur Erklärung, Änderung und Aufhebung der Unterschutzstellung sonstiger Naturdenkmäler,</w:t>
      </w:r>
    </w:p>
    <w:p>
      <w:r>
        <w:t xml:space="preserve">die sich vollständig oder zu mehr als der Hälfte ihrer Fläche innerhalb der Grenzen des in der Anlage dargestellten Gebietes befinden.</w:t>
      </w:r>
    </w:p>
    <w:p>
      <w:r>
        <w:t xml:space="preserve">(2) § 48 Absatz 1 Satz 2 des Sächsischen Naturschutzgesetzes findet keine Anwendung.</w:t>
      </w:r>
    </w:p>
    <w:p>
      <w:r>
        <w:rPr>
          <w:color w:val="555555"/>
          <w:sz w:val="17"/>
        </w:rPr>
        <w:t xml:space="preserve">Zitiervorschlag: § 1 OHTBRZuVO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