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OHTBRVO (Sachsen)</w:t>
      </w:r>
    </w:p>
    <w:p>
      <w:r>
        <w:rPr>
          <w:color w:val="555555"/>
          <w:sz w:val="18"/>
        </w:rPr>
        <w:t xml:space="preserve">OHT-Biosphärenreservatsverordnung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</w:t>
      </w:r>
    </w:p>
    <w:p>
      <w:r>
        <w:t xml:space="preserve">– des § 13 Absatz 1 in Verbindung mit § 16 Absatz 1, § 48 Absatz 1 Satz 1 Nummer 1 und 2 des Sächsischen Naturschutzgesetzes vom 6. Juni 2013 (SächsGVBl. S. 451) in Verbindung mit § 1 Absatz 1 Nummer 1 der OHT-Biosphärenreservatszuständigkeitsverordnung vom 21. Oktober 2025 (SächsGVBl. S. 408) in Verbindung mit § 20 Absatz 2, § 22 Absatz 1 und 2, § 25 sowie § 32 Absatz 2 und 3 des Bundesnaturschutzgesetzes vom 29. Juli 2009 (BGBl. I S. 2542), von denen § 22 Absatz 2 durch Artikel 10 Nummer 1 Buchstabe a des Gesetzes vom 25. Juni 2021 (BGBl. I S. 2020), § 25 durch Artikel 1 Nummer 9 des Gesetzes vom 18. August 2021 (BGBl. I S. 3908) und § 32 Absatz 2 durch Artikel 7 Nummer 3 des Gesetzes vom 21. Januar 2013 (BGBl. I. S. 95) geändert worden ist,</w:t>
      </w:r>
    </w:p>
    <w:p>
      <w:r>
        <w:t xml:space="preserve">– des § 13 Absatz 2 des Sächsischen Naturschutzgesetzes vom 6. Juni 2013 (SächsGVBl. S. 451), der durch Artikel 6 Nummer 5 Buchstabe a des Gesetzes vom 20. Dezember 2022 (SächsGVBl. S. 705) geändert worden ist,</w:t>
      </w:r>
    </w:p>
    <w:p>
      <w:r>
        <w:t xml:space="preserve">– des § 14 Absatz 1 des Sächsischen Naturschutzgesetzes vom 6. Juni 2013 (SächsGVBl. S. 451) in Verbindung mit § 23 Absatz 1 und Absatz 2 Satz 1 des Bundesnaturschutzgesetzes vom 29. Juli 2009 (BGBl. I S. 2542),</w:t>
      </w:r>
    </w:p>
    <w:p>
      <w:r>
        <w:t xml:space="preserve">– des § 20 Absatz 9 Satz 2 in Verbindung mit Satz 1 des Sächsischen Naturschutzgesetzes vom 6. Juni 2013 (SächsGVBl. S. 451), von denen § 20 Absatz 9 Satz 1 durch Artikel 6 Nummer 6 Buchstabe d des Gesetzes vom 20. Dezember 2022 (SächsGVBl. S. 705) geändert worden ist,</w:t>
      </w:r>
    </w:p>
    <w:p>
      <w:r>
        <w:t xml:space="preserve">– des § 20 Absatz 9 Satz 4 in Verbindung mit Satz 3 des Sächsischen Naturschutzgesetzes vom 6. Juni 2013 (SächsGVBl. S. 451),</w:t>
      </w:r>
    </w:p>
    <w:p>
      <w:r>
        <w:t xml:space="preserve">– des § 20 Absatz 4 des Sächsischen Jagdgesetzes vom 8. Juni 2012 (SächsGVBl. S. 308)</w:t>
      </w:r>
    </w:p>
    <w:p>
      <w:r>
        <w:t xml:space="preserve">verordnet das Staatsministerium für Umwelt und Landwirtschaft:</w:t>
      </w:r>
    </w:p>
    <w:p>
      <w:r>
        <w:rPr>
          <w:color w:val="555555"/>
          <w:sz w:val="17"/>
        </w:rPr>
        <w:t xml:space="preserve">Zitiervorschlag: Eingangsformel OHTBRVO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https://recht.nulegal.eu/gesetze/OHTBRVO/eingangsformel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