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OHTBRVO (Sachsen) — Ordnungswidrigkeiten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von § 49 Absatz 1 Nummer 1 des Sächsischen Naturschutzgesetzes handelt, wer vorsätzlich oder fahrlässig</w:t>
      </w:r>
    </w:p>
    <w:p>
      <w:r>
        <w:t xml:space="preserve">1. einem Verbot nach § 7 Absatz 1 bis 3 zuwiderhandelt,</w:t>
      </w:r>
    </w:p>
    <w:p>
      <w:r>
        <w:t xml:space="preserve">2. ohne eine vorherige schriftliche Erlaubnis der oberen Naturschutzbehörde eine nach § 8 Absatz 1 bis 3 einem Erlaubnisvorbehalt unterliegende Handlung vornimmt oder</w:t>
      </w:r>
    </w:p>
    <w:p>
      <w:r>
        <w:t xml:space="preserve">3. einer mit einer Erlaubnis nach § 8 verbundenen vollziehbaren Auflage zuwiderhandelt.</w:t>
      </w:r>
    </w:p>
    <w:p>
      <w:r>
        <w:t xml:space="preserve">(2) Absatz 1 Nummer 1 und 2 gilt nicht für Handlungen, die nach § 9 zulässig sind oder für die eine Befreiung nach § 18 Absatz 2 erteilt wurde. Absatz 1 Nummer 2 gilt nicht für Handlungen, die die Biosphärenreservatsverwaltung gemäß § 8 Absatz 4 für mit dem Schutzzweck vereinbar erklärt hat.</w:t>
      </w:r>
    </w:p>
    <w:p>
      <w:r>
        <w:rPr>
          <w:color w:val="555555"/>
          <w:sz w:val="17"/>
        </w:rPr>
        <w:t xml:space="preserve">Zitiervorschlag: § 19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