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OHTBRVO (Sachsen) — Befreiungen und Entschädigung</w:t>
      </w:r>
    </w:p>
    <w:p>
      <w:r>
        <w:rPr>
          <w:color w:val="555555"/>
          <w:sz w:val="18"/>
        </w:rPr>
        <w:t xml:space="preserve">OHT-Biosphärenreservatsverordnung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den Pflege- und Entwicklungsplänen gemäß § 6 Absatz 2 Nummer 1 vorgesehenen Maßnahmen sollen auf der Grundlage der Freiwilligkeit, insbesondere durch Maßnahmen des Vertragsnaturschutzes, durchgeführt werden.</w:t>
      </w:r>
    </w:p>
    <w:p>
      <w:r>
        <w:t xml:space="preserve">(2) Von den Verboten gemäß § 7 Absatz 1 bis 3 kann die obere Naturschutzbehörde nach Maßgabe des § 39 des Sächsischen Naturschutzgesetzes in Verbindung mit § 67 des Bundesnaturschutzgesetzes auf Antrag Befreiung gewähren. Die Befreiung darf § 33 Absatz 1, § 34 und § 45 Absatz 7 des Bundesnaturschutzgesetzes nicht entgegenstehen.</w:t>
      </w:r>
    </w:p>
    <w:p>
      <w:r>
        <w:t xml:space="preserve">(3) Die Regelungen über Entschädigung und Härtefallausgleich gemäß § 40 des Sächsischen Naturschutzgesetzes in Verbindung mit § 68 Absatz 1 und 2 des Bundesnaturschutzgesetzes bleiben unberührt.</w:t>
      </w:r>
    </w:p>
    <w:p>
      <w:r>
        <w:rPr>
          <w:color w:val="555555"/>
          <w:sz w:val="17"/>
        </w:rPr>
        <w:t xml:space="preserve">Zitiervorschlag: § 18 OHTBRVO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https://recht.nulegal.eu/gesetze/OHTBRVO/18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