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OHTBRVO (Sachsen) — Ersatzverkündung und Niederlegung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Verordnung gehörenden Karten (Anlagen 2 und 3) werden</w:t>
      </w:r>
    </w:p>
    <w:p>
      <w:r>
        <w:t xml:space="preserve">1. im Staatsministerium für Umwelt und Landwirtschaft in 01097 Dresden, Wilhelm-Buck-Straße 2,</w:t>
      </w:r>
    </w:p>
    <w:p>
      <w:r>
        <w:t xml:space="preserve">2. im Landratsamt Bautzen, Verwaltungsstandort Kamenz in 01917 Kamenz, Macherstraße 55, sowie</w:t>
      </w:r>
    </w:p>
    <w:p>
      <w:r>
        <w:t xml:space="preserve">3. im Landratsamt Görlitz, in 02826 Görlitz, Bahnhofstraße 24</w:t>
      </w:r>
    </w:p>
    <w:p>
      <w:r>
        <w:t xml:space="preserve">für die Dauer von zwei Wochen, beginnend am Tag nach der Verkündung dieser Verordnung im Sächsischen Gesetz- und Verordnungsblatt, zur kostenlosen Einsicht während der Sprechzeiten öffentlich ausgelegt.</w:t>
      </w:r>
    </w:p>
    <w:p>
      <w:r>
        <w:t xml:space="preserve">(2) Die Verordnung einschließlich aller Anlagen ist während ihrer Geltung im Staatsministerium für Umwelt und Landwirtschaft zur kostenlosen Einsicht während der Sprechzeiten niedergelegt.</w:t>
      </w:r>
    </w:p>
    <w:p>
      <w:r>
        <w:rPr>
          <w:color w:val="555555"/>
          <w:sz w:val="17"/>
        </w:rPr>
        <w:t xml:space="preserve">Zitiervorschlag: § 16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