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OHTBRVO (Sachsen) — Schutzvorschriften</w:t>
      </w:r>
    </w:p>
    <w:p>
      <w:r>
        <w:rPr>
          <w:color w:val="555555"/>
          <w:sz w:val="18"/>
        </w:rPr>
        <w:t xml:space="preserve">OHT-Biosphärenreservatsverordnung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das Naturschutzgebiet gelten die §§ 7 bis 9 entsprechend.</w:t>
      </w:r>
    </w:p>
    <w:p>
      <w:r>
        <w:rPr>
          <w:color w:val="555555"/>
          <w:sz w:val="17"/>
        </w:rPr>
        <w:t xml:space="preserve">Zitiervorschlag: § 15 OHTBRVO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https://recht.nulegal.eu/gesetze/OHTBRVO/15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