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OHTBRVO (Sachsen) — Schutzzweck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Zweck der Festsetzung des Naturschutzgebietes ist insbesondere die Unterstützung des Schutzzweckes des Biosphärenreservates in den Teilen, die infolge ihrer besonderen Ausstattung mit Lebensstätten, Biotopen oder Lebensgemeinschaften bestimmter wild lebender Tier- und Pflanzenarten sowie wegen ihrer Seltenheit, besonderen Eigenart oder hervorragenden Schönheit eines besonderen Schutzes bedürfen.</w:t>
      </w:r>
    </w:p>
    <w:p>
      <w:r>
        <w:t xml:space="preserve">(2) § 4 Absatz 1, 2 Nummer 1, 3 bis 8, 11, 13 und 14 gilt entsprechend.</w:t>
      </w:r>
    </w:p>
    <w:p>
      <w:r>
        <w:rPr>
          <w:color w:val="555555"/>
          <w:sz w:val="17"/>
        </w:rPr>
        <w:t xml:space="preserve">Zitiervorschlag: § 14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