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OHTBRVO (Sachsen) — Schutzgegenstand</w:t>
      </w:r>
    </w:p>
    <w:p>
      <w:r>
        <w:rPr>
          <w:color w:val="555555"/>
          <w:sz w:val="18"/>
        </w:rPr>
        <w:t xml:space="preserve">OHT-Biosphärenreservatsverordnung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Naturschutzgebiet hat eine Größe von rund 15 645 Hektar.</w:t>
      </w:r>
    </w:p>
    <w:p>
      <w:r>
        <w:t xml:space="preserve">(2) Das Naturschutzgebiet ist entsprechend den Schutzzonen des Biosphärenreservates nach § 2 Absatz 2 in eine Kernzone und eine Pflegezone gegliedert.</w:t>
      </w:r>
    </w:p>
    <w:p>
      <w:r>
        <w:t xml:space="preserve">(3) Die Außengrenzen des Naturschutzgebietes und die Grenzen der Schutzzonen sind in den Anlagen 2 und 3 dargestellt.</w:t>
      </w:r>
    </w:p>
    <w:p>
      <w:r>
        <w:rPr>
          <w:color w:val="555555"/>
          <w:sz w:val="17"/>
        </w:rPr>
        <w:t xml:space="preserve">Zitiervorschlag: § 13 OHTBRVO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https://recht.nulegal.eu/gesetze/OHTBRVO/13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