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OHTBRVO (Sachsen) — Erklärung zum Naturschutzgebiet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Kernzone und die Pflegezone des Biosphärenreservates werden zusätzlich zum Naturschutzgebiet erklärt.</w:t>
      </w:r>
    </w:p>
    <w:p>
      <w:r>
        <w:t xml:space="preserve">(2) Das Naturschutzgebiet führt die Bezeichnungen „Oberlausitzer Heide- und Teichlandschaft“ und „Hornjołužiska hola a haty“.</w:t>
      </w:r>
    </w:p>
    <w:p>
      <w:r>
        <w:rPr>
          <w:color w:val="555555"/>
          <w:sz w:val="17"/>
        </w:rPr>
        <w:t xml:space="preserve">Zitiervorschlag: § 12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