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OHTBRVO (Sachsen) — Erklärung zum Biosphärenreservat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2 näher bezeichneten Flächen</w:t>
      </w:r>
    </w:p>
    <w:p>
      <w:r>
        <w:t xml:space="preserve">1. im Landkreis Bautzen in den Gemeinden Großdubrau, Königswartha, Lohsa, Malschwitz, Radibor und Spreetal sowie</w:t>
      </w:r>
    </w:p>
    <w:p>
      <w:r>
        <w:t xml:space="preserve">2. im Landkreis Görlitz in den Gemeinden Hohendubrau, Kreba-Neudorf, Mücka, Quitzdorf am See, Rietschen und Boxberg/Oberlausitz</w:t>
      </w:r>
    </w:p>
    <w:p>
      <w:r>
        <w:t xml:space="preserve">werden zum Biosphärenreservat erklärt.</w:t>
      </w:r>
    </w:p>
    <w:p>
      <w:r>
        <w:t xml:space="preserve">(2) Das Biosphärenreservat führt die Bezeichnungen „Oberlausitzer Heide- und Teichlandschaft“ und „Hornjołužiska hola a haty“.</w:t>
      </w:r>
    </w:p>
    <w:p>
      <w:r>
        <w:rPr>
          <w:color w:val="555555"/>
          <w:sz w:val="17"/>
        </w:rPr>
        <w:t xml:space="preserve">Zitiervorschlag: § 1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