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OGewV 2016 — Einstufung des chemischen Zustands</w:t>
      </w:r>
    </w:p>
    <w:p>
      <w:r>
        <w:rPr>
          <w:color w:val="555555"/>
          <w:sz w:val="18"/>
        </w:rPr>
        <w:t xml:space="preserve">Oberflächengewässerverordnung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Einstufung des chemischen Zustands eines Oberflächenwasserkörpers richtet sich nach den in Anlage 8 Tabelle 2 aufgeführten Umweltqualitätsnormen. Erfüllt der Oberflächenwasserkörper diese Umweltqualitätsnormen, stuft die zuständige Behörde den chemischen Zustand als gut ein. Andernfalls ist der chemische Zustand als nicht gut einzustufen. Abweichend von Satz 1 werden die Stoffe Nummer 34 bis Nummer 45 der Anlage 8 Tabelle 2 und deren Umweltqualitätsnormen erst ab dem 22. Dezember 2018 berücksichtigt.</w:t>
      </w:r>
    </w:p>
    <w:p>
      <w:r>
        <w:rPr>
          <w:color w:val="555555"/>
          <w:sz w:val="17"/>
        </w:rPr>
        <w:t xml:space="preserve">Zitiervorschlag: § 6 OGewV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https://recht.nulegal.eu/gesetze/OGewV%202016/6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