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OGewV 2016 — Einstufung des ökologischen Zustands und des ökologischen Potenzials</w:t>
      </w:r>
    </w:p>
    <w:p>
      <w:r>
        <w:rPr>
          <w:color w:val="555555"/>
          <w:sz w:val="18"/>
        </w:rPr>
        <w:t xml:space="preserve">Oberflächengewässerverordnung</w:t>
      </w:r>
    </w:p>
    <w:p>
      <w:r>
        <w:rPr>
          <w:color w:val="555555"/>
          <w:sz w:val="18"/>
        </w:rPr>
        <w:t xml:space="preserve">Stand: 10.06.2019 (konsolidierte Textfassung, kein amtliches Inkrafttretensdatum)</w:t>
      </w:r>
    </w:p>
    <w:p>
      <w:r>
        <w:t xml:space="preserve">(1) Die Einstufung des ökologischen Zustands eines Oberflächenwasserkörpers richtet sich nach den in Anlage 3 aufgeführten Qualitätskomponenten. Die zuständige Behörde stuft den ökologischen Zustand eines Oberflächenwasserkörpers nach Maßgabe von Anlage 4 Tabellen 1 bis 5 in die Klassen sehr guter, guter, mäßiger, unbefriedigender oder schlechter Zustand ein.</w:t>
      </w:r>
    </w:p>
    <w:p>
      <w:r>
        <w:t xml:space="preserve">(2) Die Einstufung des ökologischen Potenzials eines künstlichen oder erheblich veränderten Oberflächenwasserkörpers richtet sich nach den in Anlage 3 aufgeführten Qualitätskomponenten, die für diejenige Gewässerkategorie nach Anlage 1 Nummer 1 gelten, die dem betreffenden Wasserkörper am ähnlichsten ist. Die zuständige Behörde stuft das ökologische Potenzial nach Maßgabe von Anlage 4 Tabellen 1 und 6 in die Klassen höchstes, gutes, mäßiges, unbefriedigendes oder schlechtes Potenzial ein.</w:t>
      </w:r>
    </w:p>
    <w:p>
      <w:r>
        <w:t xml:space="preserve">(3) Bei der Einstufung nach Absatz 1 oder Absatz 2 sind die in Anlage 5 aufgeführten Verfahren und Werte zu verwenden.</w:t>
      </w:r>
    </w:p>
    <w:p>
      <w:r>
        <w:t xml:space="preserve">(4) Maßgebend für die Einstufung des ökologischen Zustands oder des ökologischen Potenzials ist die jeweils schlechteste Bewertung einer der biologischen Qualitätskomponenten nach Anlage 3 Nummer 1 in Verbindung mit Anlage 4. Bei der Bewertung der biologischen Qualitätskomponenten sind die hydromorphologischen Qualitätskomponenten nach Anlage 3 Nummer 2 sowie die entsprechenden allgemeinen physikalisch-chemischen Qualitätskomponenten nach Anlage 3 Nummer 3.2 in Verbindung mit Anlage 7 zur Einstufung unterstützend heranzuziehen.</w:t>
      </w:r>
    </w:p>
    <w:p>
      <w:r>
        <w:t xml:space="preserve">(5) Wird eine Umweltqualitätsnorm oder werden mehrere Umweltqualitätsnormen nach Anlage 3 Nummer 3.1 in Verbindung mit Anlage 6 nicht eingehalten, ist der ökologische Zustand oder das ökologische Potenzial höchstens als mäßig einzustufen. Hierbei gilt für Stoffe mit überarbeiteten Umweltqualitätsnormen und für neu geregelte Stoffe Folgendes:</w:t>
      </w:r>
    </w:p>
    <w:p>
      <w:pPr>
        <w:ind w:left="420"/>
      </w:pPr>
      <w:r>
        <w:t xml:space="preserve">1. Für die zum 22. Dezember 2021 zu aktualisierenden Maßnahmenprogramme und Bewirtschaftungspläne nach § 84 Absatz 1 des Wasserhaushaltsgesetzes sind die Umweltqualitätsnormen für die Stoffe mit den Nummern 2, 3, 6, 12, 14, 21, 22, 26, 28, 29, 31, 35, 41, 42, 44, 62 und 65 nach Anlage 6 zugrunde zu legen; diese müssen für die Erreichung des guten ökologischen Zustands spätestens ab dem 22. Dezember 2027 eingehalten werden.</w:t>
      </w:r>
    </w:p>
    <w:p>
      <w:pPr>
        <w:ind w:left="420"/>
      </w:pPr>
      <w:r>
        <w:t xml:space="preserve">2. Für die zum 22. Dezember 2015 zu aktualisierenden Maßnahmenprogramme und Bewirtschaftungspläne nach § 84 Absatz 1 des Wasserhaushaltsgesetzes sind abweichend von Satz 1 für die in Nummer 1 genannten Stoffe mit den Nummern 2, 3, 6, 14, 21, 35, 41 und 44 die Umweltqualitätsnormen nach Anlage 5 der Oberflächengewässerverordnung vom 20. Juli 2011 (BGBl. I S. 1429) zugrunde zu legen; diese sind für die Erreichung des guten ökologischen Zustands bis zum 22. Dezember 2021 maßgeblich.</w:t>
      </w:r>
    </w:p>
    <w:p>
      <w:r>
        <w:rPr>
          <w:color w:val="555555"/>
          <w:sz w:val="17"/>
        </w:rPr>
        <w:t xml:space="preserve">Zitiervorschlag: § 5 OGewV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https://recht.nulegal.eu/gesetze/OGewV%202016/5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