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OGewV 2016 — Zusammenstellung der Gewässerbelastungen und Beurteilung ihrer Auswirkungen; Bestandsaufnahme der Emissionen, Einleitungen und Verluste</w:t>
      </w:r>
    </w:p>
    <w:p>
      <w:r>
        <w:rPr>
          <w:color w:val="555555"/>
          <w:sz w:val="18"/>
        </w:rPr>
        <w:t xml:space="preserve">Oberflächengewässerverordnung</w:t>
      </w:r>
    </w:p>
    <w:p>
      <w:r>
        <w:rPr>
          <w:color w:val="555555"/>
          <w:sz w:val="18"/>
        </w:rPr>
        <w:t xml:space="preserve">Stand: 16.12.2020 (konsolidierte Textfassung, kein amtliches Inkrafttretensdatum)</w:t>
      </w:r>
    </w:p>
    <w:p>
      <w:r>
        <w:t xml:space="preserve">(1) Nach Maßgabe der Anlage 2 wird Folgendes zum 22. Dezember 2019 durch die zuständige Behörde überprüft und gegebenenfalls aktualisiert:</w:t>
      </w:r>
    </w:p>
    <w:p>
      <w:pPr>
        <w:ind w:left="420"/>
      </w:pPr>
      <w:r>
        <w:t xml:space="preserve">1. die Zusammenstellungen von Daten zu Art und Ausmaß der durch menschliche Tätigkeit verursachten (anthropogenen) signifikanten Belastungen der Oberflächenwasserkörper,</w:t>
      </w:r>
    </w:p>
    <w:p>
      <w:pPr>
        <w:ind w:left="420"/>
      </w:pPr>
      <w:r>
        <w:t xml:space="preserve">2. die Beurteilungen auf Grund der Zusammenstellungen nach Nummer 1, wie empfindlich die Oberflächenwasserkörper auf die Belastungen reagieren, und</w:t>
      </w:r>
    </w:p>
    <w:p>
      <w:pPr>
        <w:ind w:left="420"/>
      </w:pPr>
      <w:r>
        <w:t xml:space="preserve">3. die Ermittlungen und Beschreibungen von Oberflächenwasserkörpern, die die für die Gewässer festgelegten Bewirtschaftungsziele nach den §§ 27 und 44 des Wasserhaushaltsgesetzes nicht erreichen.</w:t>
      </w:r>
    </w:p>
    <w:p>
      <w:r>
        <w:t xml:space="preserve">Danach erfolgen alle sechs Jahre eine Überprüfung und gegebenenfalls eine Aktualisierung.</w:t>
      </w:r>
    </w:p>
    <w:p>
      <w:r>
        <w:t xml:space="preserve">(2) Die zuständige Behörde aktualisiert die für jede Flussgebietseinheit zum 22. Dezember 2013 erstellte Bestandsaufnahme der Emissionen, Einleitungen und Verluste aller prioritären Stoffe und bestimmter anderer Schadstoffe einschließlich der Konzentrationen der in Anlage 8 Tabelle 1 genannten Stoffe in Biota, Schwebstoffen oder Sedimenten im Rahmen der Überprüfung nach Absatz 1 auf der Grundlage folgender Informationen und Bestimmungen:</w:t>
      </w:r>
    </w:p>
    <w:p>
      <w:pPr>
        <w:ind w:left="420"/>
      </w:pPr>
      <w:r>
        <w:t xml:space="preserve">1. der Informationen nach Absatz 1,</w:t>
      </w:r>
    </w:p>
    <w:p>
      <w:pPr>
        <w:ind w:left="420"/>
      </w:pPr>
      <w:r>
        <w:t xml:space="preserve">2. der Bestimmungen nach § 3,</w:t>
      </w:r>
    </w:p>
    <w:p>
      <w:pPr>
        <w:ind w:left="420"/>
      </w:pPr>
      <w:r>
        <w:t xml:space="preserve">3. der im Rahmen der Überwachung nach § 10 gewonnenen Informationen,</w:t>
      </w:r>
    </w:p>
    <w:p>
      <w:pPr>
        <w:ind w:left="420"/>
      </w:pPr>
      <w:r>
        <w:t xml:space="preserve">4. der Informationen nach § 2 Absatz 2 Satz 1 des Gesetzes zur Ausführung des Protokolls über Schadstofffreisetzungs- und -verbringungsregister vom 21. Mai 2003 sowie zur Durchführung der Verordnung (EG) Nr. 166/2006 vom 6. Juni 2007 (BGBl. I S. 1002), das durch Artikel 1 des Gesetzes vom 9. Dezember 2020 (BGBl. I S. 2873) geändert worden ist, sowie</w:t>
      </w:r>
    </w:p>
    <w:p>
      <w:pPr>
        <w:ind w:left="420"/>
      </w:pPr>
      <w:r>
        <w:t xml:space="preserve">5. anderer verfügbarer Daten, Karten und Modelluntersuchungen.</w:t>
      </w:r>
    </w:p>
    <w:p>
      <w:r>
        <w:t xml:space="preserve">(3) Der Referenzzeitraum für die Erfassung der Werte in den aktualisierten Bestandsaufnahmen ist das Jahr, vor dem die Aktualisierung abzuschließen ist. Für prioritäre Stoffe oder bestimmte andere Schadstoffe, die jeweils Wirkstoffe im Sinne des Artikels 2 Absatz 2 der Verordnung (EG) Nr. 1107/2009 des Europäischen Parlaments und des Rates vom 21. Oktober 2009 über das Inverkehrbringen von Pflanzenschutzmitteln und zur Aufhebung der Richtlinien 79/117/EWG und 91/414/EWG des Rates (ABl. L 309 vom 24.11.2009, S. 1), die zuletzt durch die Verordnung (EU) Nr. 652/2014 (ABl. L 189 vom 27.6.2014, S. 1) geändert worden ist, sind, kann auch der Durchschnittswert der letzten drei Jahre vor Abschluss der Aktualisierung verwendet werden.</w:t>
      </w:r>
    </w:p>
    <w:p>
      <w:r>
        <w:rPr>
          <w:color w:val="555555"/>
          <w:sz w:val="17"/>
        </w:rPr>
        <w:t xml:space="preserve">Zitiervorschlag: § 4 OGewV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https://recht.nulegal.eu/gesetze/OGewV%202016/4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