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OGewV 2016 — Lage, Grenzen und Zuordnung der Oberflächenwasserkörper; typspezifische Referenzbedingungen</w:t>
      </w:r>
    </w:p>
    <w:p>
      <w:r>
        <w:rPr>
          <w:color w:val="555555"/>
          <w:sz w:val="18"/>
        </w:rPr>
        <w:t xml:space="preserve">Oberflächengewässerverordnung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Maßgabe der Anlage 1 werden folgende Bestimmungen zum 22. Dezember 2019 durch die zuständige Behörde überprüft und gegebenenfalls aktualisiert:</w:t>
      </w:r>
    </w:p>
    <w:p>
      <w:pPr>
        <w:ind w:left="420"/>
      </w:pPr>
      <w:r>
        <w:t xml:space="preserve">1. die Festlegung von Lage und Grenzen der Oberflächenwasserkörper,</w:t>
      </w:r>
    </w:p>
    <w:p>
      <w:pPr>
        <w:ind w:left="420"/>
      </w:pPr>
      <w:r>
        <w:t xml:space="preserve">2. die Einteilung von Oberflächenwasserkörpern innerhalb einer Flussgebietseinheit in Kategorien,</w:t>
      </w:r>
    </w:p>
    <w:p>
      <w:pPr>
        <w:ind w:left="420"/>
      </w:pPr>
      <w:r>
        <w:t xml:space="preserve">3. die Unterscheidung der Kategorien von Oberflächenwasserkörpern nach Typen,</w:t>
      </w:r>
    </w:p>
    <w:p>
      <w:pPr>
        <w:ind w:left="420"/>
      </w:pPr>
      <w:r>
        <w:t xml:space="preserve">4. die Einstufung von Oberflächenwasserkörpern als künstlich oder als erheblich verändert und</w:t>
      </w:r>
    </w:p>
    <w:p>
      <w:pPr>
        <w:ind w:left="420"/>
      </w:pPr>
      <w:r>
        <w:t xml:space="preserve">5. die Festlegung von typspezifischen Referenzbedingungen.</w:t>
      </w:r>
    </w:p>
    <w:p>
      <w:r>
        <w:t xml:space="preserve">Die Bestimmungen werden danach alle sechs Jahre überprüft und gegebenenfalls aktualisiert.</w:t>
      </w:r>
    </w:p>
    <w:p>
      <w:r>
        <w:rPr>
          <w:color w:val="555555"/>
          <w:sz w:val="17"/>
        </w:rPr>
        <w:t xml:space="preserve">Zitiervorschlag: § 3 OGewV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https://recht.nulegal.eu/gesetze/OGewV%202016/3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