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OGewV 2016 — Begriffsbestimmungen</w:t>
      </w:r>
    </w:p>
    <w:p>
      <w:r>
        <w:rPr>
          <w:color w:val="555555"/>
          <w:sz w:val="18"/>
        </w:rPr>
        <w:t xml:space="preserve">Oberflächengewässerverordnung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diese Verordnung gelten folgende Begriffsbestimmungen:</w:t>
      </w:r>
    </w:p>
    <w:p>
      <w:pPr>
        <w:ind w:left="420"/>
      </w:pPr>
      <w:r>
        <w:t xml:space="preserve">1. OberflächengewässerOberirdische Gewässer nach § 3 Nummer 1 des Wasserhaushaltsgesetzes, einschließlich der Übergangsgewässer nach Nummer 2 sowie Küstengewässer nach § 7 Absatz 5 Satz 2 des Wasserhaushaltsgesetzes; bei Anforderungen an den chemischen Zustand von Küstengewässern gilt die Begriffsbestimmung des § 3 Nummer 2 des Wasserhaushaltsgesetzes;</w:t>
      </w:r>
    </w:p>
    <w:p>
      <w:pPr>
        <w:ind w:left="420"/>
      </w:pPr>
      <w:r>
        <w:t xml:space="preserve">2. ÜbergangsgewässerDie Oberflächenwasserkörper in der Nähe von Flussmündungen, die auf Grund ihrer Nähe zu den Küstengewässern einen gewissen Salzgehalt aufweisen, aber im Wesentlichen von Süßwasserströmungen beeinflusst werden;</w:t>
      </w:r>
    </w:p>
    <w:p>
      <w:pPr>
        <w:ind w:left="420"/>
      </w:pPr>
      <w:r>
        <w:t xml:space="preserve">3. Umweltqualitätsnorm (UQN)Die Konzentration eines bestimmten Schadstoffs oder einer bestimmten Schadstoffgruppe, die in Wasser, Schwebstoffen, Sedimenten oder Biota aus Gründen des Gesundheits- und Umweltschutzes nicht überschritten werden darf;</w:t>
      </w:r>
    </w:p>
    <w:p>
      <w:pPr>
        <w:ind w:left="420"/>
      </w:pPr>
      <w:r>
        <w:t xml:space="preserve">4. Prioritäre StoffeStoffe, die in Anlage 8 Tabelle 1 Spalte 8 aufgeführt sind;</w:t>
      </w:r>
    </w:p>
    <w:p>
      <w:pPr>
        <w:ind w:left="420"/>
      </w:pPr>
      <w:r>
        <w:t xml:space="preserve">5. Bestimmte andere SchadstoffeStoffe, die in Anlage 8 Tabelle 1 Spalte 9 aufgeführt sind;</w:t>
      </w:r>
    </w:p>
    <w:p>
      <w:pPr>
        <w:ind w:left="420"/>
      </w:pPr>
      <w:r>
        <w:t xml:space="preserve">6. Flussgebietsspezifische SchadstoffeSpezifische synthetische und spezifische nichtsynthetische Schadstoffe, die in Anlage 6 aufgeführt sind;</w:t>
      </w:r>
    </w:p>
    <w:p>
      <w:pPr>
        <w:ind w:left="420"/>
      </w:pPr>
      <w:r>
        <w:t xml:space="preserve">7. Natürliche HintergrundkonzentrationKonzentration eines Stoffes in einem Oberflächenwasserkörper, die nicht oder nur sehr gering durch menschliche Tätigkeiten beeinflusst ist.</w:t>
      </w:r>
    </w:p>
    <w:p>
      <w:r>
        <w:rPr>
          <w:color w:val="555555"/>
          <w:sz w:val="17"/>
        </w:rPr>
        <w:t xml:space="preserve">Zitiervorschlag: § 2 OGewV 2016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https://recht.nulegal.eu/gesetze/OGewV%202016/2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